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A89" w14:textId="56F2B4D1" w:rsidR="00A5284C" w:rsidRDefault="00A5284C" w:rsidP="00A5284C">
      <w:pPr>
        <w:jc w:val="center"/>
        <w:rPr>
          <w:b/>
          <w:bCs/>
        </w:rPr>
      </w:pPr>
      <w:r>
        <w:rPr>
          <w:b/>
          <w:bCs/>
        </w:rPr>
        <w:t xml:space="preserve">ASCC Arts and Humanities 2 Panel </w:t>
      </w:r>
    </w:p>
    <w:p w14:paraId="380F94F0" w14:textId="77777777" w:rsidR="00A5284C" w:rsidRDefault="00A5284C" w:rsidP="00A5284C">
      <w:pPr>
        <w:jc w:val="center"/>
      </w:pPr>
    </w:p>
    <w:p w14:paraId="5C7F0423" w14:textId="40B3387F" w:rsidR="00A5284C" w:rsidRDefault="000D7F44" w:rsidP="00A5284C">
      <w:pPr>
        <w:jc w:val="center"/>
      </w:pPr>
      <w:r>
        <w:t>A</w:t>
      </w:r>
      <w:r w:rsidR="007E048C">
        <w:t>pproved</w:t>
      </w:r>
      <w:r w:rsidR="00A5284C">
        <w:t xml:space="preserve"> Minutes</w:t>
      </w:r>
    </w:p>
    <w:p w14:paraId="2766AC39" w14:textId="77777777" w:rsidR="00A5284C" w:rsidRDefault="00A5284C" w:rsidP="00A5284C">
      <w:pPr>
        <w:jc w:val="center"/>
      </w:pPr>
    </w:p>
    <w:p w14:paraId="0FCE9FAA" w14:textId="28E9C86C" w:rsidR="00A5284C" w:rsidRDefault="00A5284C" w:rsidP="00A5284C">
      <w:r>
        <w:t>Friday, December 10,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12:00PM – 1:30PM</w:t>
      </w:r>
    </w:p>
    <w:p w14:paraId="2BBA962D" w14:textId="77777777" w:rsidR="00A5284C" w:rsidRDefault="00A5284C" w:rsidP="00A5284C"/>
    <w:p w14:paraId="04CFFFBF" w14:textId="77777777" w:rsidR="00A5284C" w:rsidRDefault="00A5284C" w:rsidP="00A5284C">
      <w:r>
        <w:t>CarmenZoom</w:t>
      </w:r>
    </w:p>
    <w:p w14:paraId="3A9304B3" w14:textId="30200601" w:rsidR="00A5284C" w:rsidRDefault="00A5284C" w:rsidP="00A5284C"/>
    <w:p w14:paraId="57931D0B" w14:textId="77777777" w:rsidR="00A5284C" w:rsidRDefault="00A5284C" w:rsidP="00A5284C"/>
    <w:p w14:paraId="3528175A" w14:textId="668CED4D" w:rsidR="00A5284C" w:rsidRDefault="00A5284C" w:rsidP="00A5284C">
      <w:r>
        <w:rPr>
          <w:b/>
          <w:bCs/>
        </w:rPr>
        <w:t>Attendees</w:t>
      </w:r>
      <w:r>
        <w:t>:  Bitters, Cody, Parsons, Paulsen, Romero, Wilson</w:t>
      </w:r>
    </w:p>
    <w:p w14:paraId="58114EC9" w14:textId="77777777" w:rsidR="00A5284C" w:rsidRDefault="00A5284C" w:rsidP="00A5284C"/>
    <w:p w14:paraId="5E14A6BE" w14:textId="77777777" w:rsidR="00A5284C" w:rsidRPr="00B202C0" w:rsidRDefault="00A5284C" w:rsidP="00A5284C">
      <w:pPr>
        <w:rPr>
          <w:b/>
          <w:bCs/>
        </w:rPr>
      </w:pPr>
      <w:r w:rsidRPr="00B202C0">
        <w:rPr>
          <w:b/>
          <w:bCs/>
        </w:rPr>
        <w:t>Agenda</w:t>
      </w:r>
      <w:r>
        <w:rPr>
          <w:b/>
          <w:bCs/>
        </w:rPr>
        <w:t>:</w:t>
      </w:r>
    </w:p>
    <w:p w14:paraId="06C2040A" w14:textId="77777777" w:rsidR="00360448" w:rsidRPr="00360448" w:rsidRDefault="00360448" w:rsidP="00360448">
      <w:pPr>
        <w:rPr>
          <w:b/>
          <w:bCs/>
        </w:rPr>
      </w:pPr>
    </w:p>
    <w:p w14:paraId="0AC0F1EF" w14:textId="5C21A203" w:rsidR="00360448" w:rsidRDefault="00360448" w:rsidP="00360448">
      <w:pPr>
        <w:numPr>
          <w:ilvl w:val="0"/>
          <w:numId w:val="2"/>
        </w:numPr>
      </w:pPr>
      <w:r w:rsidRPr="00360448">
        <w:t>Approval of 11-12-21 minutes</w:t>
      </w:r>
    </w:p>
    <w:p w14:paraId="115137A4" w14:textId="1CD3EF6F" w:rsidR="00360448" w:rsidRDefault="005427D4" w:rsidP="00360448">
      <w:pPr>
        <w:numPr>
          <w:ilvl w:val="1"/>
          <w:numId w:val="2"/>
        </w:numPr>
      </w:pPr>
      <w:r>
        <w:t xml:space="preserve">Wilson, Parsons; </w:t>
      </w:r>
      <w:r>
        <w:rPr>
          <w:b/>
          <w:bCs/>
        </w:rPr>
        <w:t xml:space="preserve">unanimously approved </w:t>
      </w:r>
      <w:r>
        <w:t>with one abstention (Paulsen)</w:t>
      </w:r>
    </w:p>
    <w:p w14:paraId="4FC3D479" w14:textId="77777777" w:rsidR="001C72A3" w:rsidRPr="00360448" w:rsidRDefault="001C72A3" w:rsidP="001C72A3">
      <w:pPr>
        <w:ind w:left="1440"/>
      </w:pPr>
    </w:p>
    <w:p w14:paraId="0FA722C2" w14:textId="7731C8E5" w:rsidR="001C72A3" w:rsidRDefault="001C72A3" w:rsidP="001C72A3">
      <w:pPr>
        <w:numPr>
          <w:ilvl w:val="0"/>
          <w:numId w:val="2"/>
        </w:numPr>
      </w:pPr>
      <w:r w:rsidRPr="00360448">
        <w:t>Music 2271 (existing course requesting 100% DL delivery) (return)</w:t>
      </w:r>
    </w:p>
    <w:p w14:paraId="3A56F526" w14:textId="49B6B122" w:rsidR="001C72A3" w:rsidRPr="00C4053E" w:rsidRDefault="00CC3F77" w:rsidP="001C72A3">
      <w:pPr>
        <w:numPr>
          <w:ilvl w:val="1"/>
          <w:numId w:val="2"/>
        </w:numPr>
        <w:rPr>
          <w:i/>
          <w:iCs/>
        </w:rPr>
      </w:pPr>
      <w:r w:rsidRPr="00C4053E">
        <w:rPr>
          <w:i/>
          <w:iCs/>
        </w:rPr>
        <w:t xml:space="preserve">The Panel notes that the in-person syllabus contains language in certain sections that is only </w:t>
      </w:r>
      <w:r w:rsidRPr="00D4646C">
        <w:rPr>
          <w:i/>
          <w:iCs/>
        </w:rPr>
        <w:t>applicable to courses delivered online – for example, page 8 of the in-person syllabus mentions synchronous sessions via Zoom.  The Panel recommends reviewing the in-person</w:t>
      </w:r>
      <w:r w:rsidRPr="00C4053E">
        <w:rPr>
          <w:i/>
          <w:iCs/>
        </w:rPr>
        <w:t xml:space="preserve"> syllabus and removing any </w:t>
      </w:r>
      <w:r w:rsidR="00C01F02" w:rsidRPr="00C4053E">
        <w:rPr>
          <w:i/>
          <w:iCs/>
        </w:rPr>
        <w:t xml:space="preserve">extraneous </w:t>
      </w:r>
      <w:r w:rsidRPr="00C4053E">
        <w:rPr>
          <w:i/>
          <w:iCs/>
        </w:rPr>
        <w:t>DL language</w:t>
      </w:r>
      <w:r w:rsidR="00C01F02" w:rsidRPr="00C4053E">
        <w:rPr>
          <w:i/>
          <w:iCs/>
        </w:rPr>
        <w:t>.</w:t>
      </w:r>
    </w:p>
    <w:p w14:paraId="35077BC9" w14:textId="29FF1148" w:rsidR="001C72A3" w:rsidRDefault="00BB6BA4" w:rsidP="001C72A3">
      <w:pPr>
        <w:numPr>
          <w:ilvl w:val="1"/>
          <w:numId w:val="2"/>
        </w:numPr>
      </w:pPr>
      <w:r>
        <w:rPr>
          <w:i/>
          <w:iCs/>
        </w:rPr>
        <w:t xml:space="preserve">The Panel recommends including more detailed guidance for the discussion assignments, including approximate length/word count for each, and </w:t>
      </w:r>
      <w:r w:rsidR="00DE79CD">
        <w:rPr>
          <w:i/>
          <w:iCs/>
        </w:rPr>
        <w:t>whether or not</w:t>
      </w:r>
      <w:r>
        <w:rPr>
          <w:i/>
          <w:iCs/>
        </w:rPr>
        <w:t xml:space="preserve"> students are required to respond to other “ponderable posts” from their classmates.  </w:t>
      </w:r>
    </w:p>
    <w:p w14:paraId="7B24A4B5" w14:textId="5209A9D0" w:rsidR="001C72A3" w:rsidRDefault="00BB46AA" w:rsidP="001C72A3">
      <w:pPr>
        <w:numPr>
          <w:ilvl w:val="1"/>
          <w:numId w:val="2"/>
        </w:numPr>
      </w:pPr>
      <w:r>
        <w:t xml:space="preserve">Wilson, Parsons; </w:t>
      </w:r>
      <w:r>
        <w:rPr>
          <w:b/>
          <w:bCs/>
        </w:rPr>
        <w:t xml:space="preserve">unanimously approved </w:t>
      </w:r>
      <w:r>
        <w:t xml:space="preserve">with </w:t>
      </w:r>
      <w:r w:rsidRPr="00BB46AA">
        <w:rPr>
          <w:i/>
          <w:iCs/>
        </w:rPr>
        <w:t>two (2) re</w:t>
      </w:r>
      <w:r>
        <w:rPr>
          <w:i/>
          <w:iCs/>
        </w:rPr>
        <w:t>commendations</w:t>
      </w:r>
      <w:r>
        <w:t xml:space="preserve"> (in italics above)</w:t>
      </w:r>
    </w:p>
    <w:p w14:paraId="07206534" w14:textId="77777777" w:rsidR="001C72A3" w:rsidRPr="00360448" w:rsidRDefault="001C72A3" w:rsidP="001C72A3">
      <w:pPr>
        <w:ind w:left="1440"/>
      </w:pPr>
    </w:p>
    <w:p w14:paraId="360D8B8C" w14:textId="03CCD0B3" w:rsidR="001C72A3" w:rsidRDefault="001C72A3" w:rsidP="001C72A3">
      <w:pPr>
        <w:numPr>
          <w:ilvl w:val="0"/>
          <w:numId w:val="2"/>
        </w:numPr>
      </w:pPr>
      <w:r w:rsidRPr="00360448">
        <w:t>Dance 3801 (existing course requesting 100% DL delivery)</w:t>
      </w:r>
    </w:p>
    <w:p w14:paraId="152F127F" w14:textId="14371E31" w:rsidR="008D5673" w:rsidRPr="001131A3" w:rsidRDefault="00434991" w:rsidP="008D567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When are the required synchronous meetings for the course?  The correct required time(s) should appear at the top of the syllabus.  If the department</w:t>
      </w:r>
      <w:r w:rsidR="008D5673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plans to adopt a synchronous-asynchronous model, requiring students to only attend one of two synchronous meetings per week (1.5 of 3 total contact hours</w:t>
      </w:r>
      <w:r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), the syllabus needs to provide additional</w:t>
      </w:r>
      <w:r w:rsidR="008D5673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details </w:t>
      </w:r>
      <w:r w:rsidR="00D3198B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that</w:t>
      </w:r>
      <w:r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clarify</w:t>
      </w:r>
      <w:r w:rsidR="008D5673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how these meetings </w:t>
      </w:r>
      <w:r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will</w:t>
      </w:r>
      <w:r w:rsidR="008D5673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transpire and/or how students </w:t>
      </w:r>
      <w:r w:rsidR="00D3198B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will</w:t>
      </w:r>
      <w:r w:rsidR="008D5673" w:rsidRPr="001131A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account for the other 1.5 hours of contact time. </w:t>
      </w:r>
    </w:p>
    <w:p w14:paraId="217ACF83" w14:textId="624D6845" w:rsidR="001C72A3" w:rsidRDefault="00450E0B" w:rsidP="001C72A3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The Panel asks that concrete deadlines for assignments be </w:t>
      </w:r>
      <w:r w:rsidR="000B1922">
        <w:rPr>
          <w:b/>
          <w:bCs/>
        </w:rPr>
        <w:t xml:space="preserve">added to </w:t>
      </w:r>
      <w:r>
        <w:rPr>
          <w:b/>
          <w:bCs/>
        </w:rPr>
        <w:t xml:space="preserve">the course calendar.  </w:t>
      </w:r>
    </w:p>
    <w:p w14:paraId="08172183" w14:textId="5612AC03" w:rsidR="00DF2B1C" w:rsidRDefault="000B1922" w:rsidP="00DF2B1C">
      <w:pPr>
        <w:pStyle w:val="ListParagraph"/>
        <w:numPr>
          <w:ilvl w:val="1"/>
          <w:numId w:val="2"/>
        </w:numPr>
      </w:pPr>
      <w:r>
        <w:rPr>
          <w:i/>
          <w:iCs/>
        </w:rPr>
        <w:t>Do quizzes happen during synchronous or asynchronous class time?  The Panel recommends clarifying when/how quizzes will be delivered, making sure to include the dates that they will occur in the course calendar</w:t>
      </w:r>
      <w:r w:rsidR="006650AB">
        <w:rPr>
          <w:i/>
          <w:iCs/>
        </w:rPr>
        <w:t>.</w:t>
      </w:r>
    </w:p>
    <w:p w14:paraId="7F778717" w14:textId="2E7F6991" w:rsidR="001C72A3" w:rsidRDefault="00B813C7" w:rsidP="001C72A3">
      <w:pPr>
        <w:pStyle w:val="ListParagraph"/>
        <w:numPr>
          <w:ilvl w:val="1"/>
          <w:numId w:val="2"/>
        </w:numPr>
      </w:pPr>
      <w:r>
        <w:lastRenderedPageBreak/>
        <w:t xml:space="preserve">Wilson, Parsons;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two (2) contingencies </w:t>
      </w:r>
      <w:r>
        <w:t xml:space="preserve">(in bold above) and </w:t>
      </w:r>
      <w:r>
        <w:rPr>
          <w:i/>
          <w:iCs/>
        </w:rPr>
        <w:t xml:space="preserve">one (1) recommendation </w:t>
      </w:r>
      <w:r>
        <w:t xml:space="preserve">(in italics above) </w:t>
      </w:r>
    </w:p>
    <w:p w14:paraId="6A3E8EB7" w14:textId="77777777" w:rsidR="001C72A3" w:rsidRPr="00360448" w:rsidRDefault="001C72A3" w:rsidP="001C72A3">
      <w:pPr>
        <w:pStyle w:val="ListParagraph"/>
        <w:ind w:left="1440"/>
      </w:pPr>
    </w:p>
    <w:p w14:paraId="1BDBDC51" w14:textId="4D93B324" w:rsidR="00994077" w:rsidRDefault="00994077" w:rsidP="00994077">
      <w:pPr>
        <w:numPr>
          <w:ilvl w:val="0"/>
          <w:numId w:val="2"/>
        </w:numPr>
      </w:pPr>
      <w:r w:rsidRPr="00360448">
        <w:t>WGSS 2305 (existing course requesting new GE Foundation: Historical and Cultural Studies and Foundation: REGD)</w:t>
      </w:r>
    </w:p>
    <w:p w14:paraId="5C9FC8BF" w14:textId="154754E9" w:rsidR="00994077" w:rsidRDefault="00DD798E" w:rsidP="00994077">
      <w:pPr>
        <w:numPr>
          <w:ilvl w:val="1"/>
          <w:numId w:val="2"/>
        </w:numPr>
      </w:pPr>
      <w:r>
        <w:rPr>
          <w:i/>
          <w:iCs/>
        </w:rPr>
        <w:t>The Panel recommends more explicitly linking aspects of the course with the Cultural Studies GE goals and ELOs</w:t>
      </w:r>
      <w:r w:rsidR="008C1436">
        <w:rPr>
          <w:i/>
          <w:iCs/>
        </w:rPr>
        <w:t xml:space="preserve"> throughout the syllabus</w:t>
      </w:r>
      <w:r w:rsidR="00881E5C">
        <w:rPr>
          <w:i/>
          <w:iCs/>
        </w:rPr>
        <w:t xml:space="preserve"> – stating directly, for</w:t>
      </w:r>
      <w:r w:rsidR="008C1436">
        <w:rPr>
          <w:i/>
          <w:iCs/>
        </w:rPr>
        <w:t xml:space="preserve"> example, </w:t>
      </w:r>
      <w:r w:rsidR="00881E5C">
        <w:rPr>
          <w:i/>
          <w:iCs/>
        </w:rPr>
        <w:t xml:space="preserve">how the course will focus on </w:t>
      </w:r>
      <w:r>
        <w:rPr>
          <w:i/>
          <w:iCs/>
        </w:rPr>
        <w:t xml:space="preserve">cultural phenomena and </w:t>
      </w:r>
      <w:r w:rsidR="00881E5C">
        <w:rPr>
          <w:i/>
          <w:iCs/>
        </w:rPr>
        <w:t xml:space="preserve">cultural </w:t>
      </w:r>
      <w:r>
        <w:rPr>
          <w:i/>
          <w:iCs/>
        </w:rPr>
        <w:t xml:space="preserve">practices </w:t>
      </w:r>
      <w:r w:rsidR="00881E5C">
        <w:rPr>
          <w:i/>
          <w:iCs/>
        </w:rPr>
        <w:t>through various readings, assignments, etc.</w:t>
      </w:r>
    </w:p>
    <w:p w14:paraId="78E51F80" w14:textId="2D2413E0" w:rsidR="00994077" w:rsidRDefault="00A517C4" w:rsidP="00994077">
      <w:pPr>
        <w:numPr>
          <w:ilvl w:val="1"/>
          <w:numId w:val="2"/>
        </w:numPr>
      </w:pPr>
      <w:r>
        <w:rPr>
          <w:i/>
          <w:iCs/>
        </w:rPr>
        <w:t xml:space="preserve">The Panel recommends including the specific guidelines for </w:t>
      </w:r>
      <w:r w:rsidR="00365C29">
        <w:rPr>
          <w:i/>
          <w:iCs/>
        </w:rPr>
        <w:t xml:space="preserve">the </w:t>
      </w:r>
      <w:r>
        <w:rPr>
          <w:i/>
          <w:iCs/>
        </w:rPr>
        <w:t>essay</w:t>
      </w:r>
      <w:r w:rsidR="00365C29">
        <w:rPr>
          <w:i/>
          <w:iCs/>
        </w:rPr>
        <w:t xml:space="preserve"> assignments</w:t>
      </w:r>
      <w:r>
        <w:rPr>
          <w:i/>
          <w:iCs/>
        </w:rPr>
        <w:t xml:space="preserve"> in the syllabus in addition to posting this information on Carmen. </w:t>
      </w:r>
    </w:p>
    <w:p w14:paraId="08F662B8" w14:textId="169202FF" w:rsidR="00994077" w:rsidRDefault="004C1E4C" w:rsidP="00994077">
      <w:pPr>
        <w:numPr>
          <w:ilvl w:val="1"/>
          <w:numId w:val="2"/>
        </w:numPr>
      </w:pPr>
      <w:r>
        <w:t xml:space="preserve">Wilson, Parsons;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(2) recommendations </w:t>
      </w:r>
      <w:r>
        <w:t xml:space="preserve">(in italics above) </w:t>
      </w:r>
    </w:p>
    <w:p w14:paraId="0391DCF2" w14:textId="77777777" w:rsidR="00994077" w:rsidRPr="00360448" w:rsidRDefault="00994077" w:rsidP="00994077">
      <w:pPr>
        <w:ind w:left="1440"/>
      </w:pPr>
    </w:p>
    <w:p w14:paraId="270E023E" w14:textId="4683133C" w:rsidR="00360448" w:rsidRDefault="00360448" w:rsidP="00360448">
      <w:pPr>
        <w:numPr>
          <w:ilvl w:val="0"/>
          <w:numId w:val="2"/>
        </w:numPr>
      </w:pPr>
      <w:r w:rsidRPr="00360448">
        <w:t>History 7905 (course change)</w:t>
      </w:r>
    </w:p>
    <w:p w14:paraId="7681D1AD" w14:textId="4288D881" w:rsidR="00710B77" w:rsidRDefault="00A5059F" w:rsidP="00710B77">
      <w:pPr>
        <w:numPr>
          <w:ilvl w:val="1"/>
          <w:numId w:val="2"/>
        </w:numPr>
      </w:pPr>
      <w:r w:rsidRPr="007A5ABD">
        <w:t>Please include a rationale explaining how the course can be taken for variable credit hours, not be repeatable, and</w:t>
      </w:r>
      <w:r w:rsidR="00E1408E">
        <w:t>/or</w:t>
      </w:r>
      <w:r w:rsidRPr="007A5ABD">
        <w:t xml:space="preserve"> also </w:t>
      </w:r>
      <w:r w:rsidR="007A5ABD" w:rsidRPr="007A5ABD">
        <w:t>graded S/U; at present, t</w:t>
      </w:r>
      <w:r w:rsidRPr="007A5ABD">
        <w:t xml:space="preserve">he Panel is unclear about how exactly the course will operate with regard to </w:t>
      </w:r>
      <w:r w:rsidR="007A5ABD" w:rsidRPr="007A5ABD">
        <w:t>these</w:t>
      </w:r>
      <w:r w:rsidRPr="007A5ABD">
        <w:t xml:space="preserve"> important detail</w:t>
      </w:r>
      <w:r w:rsidR="007A5ABD" w:rsidRPr="007A5ABD">
        <w:t>s</w:t>
      </w:r>
      <w:r w:rsidRPr="007A5ABD">
        <w:t xml:space="preserve">.  </w:t>
      </w:r>
    </w:p>
    <w:p w14:paraId="16E69E03" w14:textId="655F97F4" w:rsidR="00E1408E" w:rsidRDefault="00E1408E" w:rsidP="00E1408E">
      <w:pPr>
        <w:numPr>
          <w:ilvl w:val="2"/>
          <w:numId w:val="2"/>
        </w:numPr>
      </w:pPr>
      <w:r>
        <w:t>Specifically regarding the number of credit hours, there is conflicting information about this course in the graduate student handbook vs. the History Department website; the handbook indicates 7509 is a required 3-hour course, while the department website says that the class counts for 1 credit hour.  The Panel notes that the amount of work as reflected in the syllabus seems to be much more than typically required for a 1-credit hour course and/or a class graded S/U; please clarify which is the number of credits and how the proposed workload corresponds accordingly.</w:t>
      </w:r>
    </w:p>
    <w:p w14:paraId="1F555FB5" w14:textId="0C534206" w:rsidR="006536F4" w:rsidRDefault="006536F4" w:rsidP="006536F4">
      <w:pPr>
        <w:numPr>
          <w:ilvl w:val="1"/>
          <w:numId w:val="2"/>
        </w:numPr>
      </w:pPr>
      <w:r>
        <w:t>What are the requirements for an S vs. U mark?  Please distinguish this grading criteria more clearly.</w:t>
      </w:r>
    </w:p>
    <w:p w14:paraId="2C0A1B5B" w14:textId="55B580DF" w:rsidR="00E1408E" w:rsidRDefault="00E1408E" w:rsidP="00E1408E">
      <w:pPr>
        <w:numPr>
          <w:ilvl w:val="1"/>
          <w:numId w:val="2"/>
        </w:numPr>
      </w:pPr>
      <w:r w:rsidRPr="00FD47D8">
        <w:t>On the curriculum.osu.edu form, there are checks next to all of the different lengths of time (e.g., 14, 12, 8, 7, 6, and 4 weeks) over which the course might take place.  Does the department plan to offer this course in all of these variable lengths?</w:t>
      </w:r>
    </w:p>
    <w:p w14:paraId="4AEF61AB" w14:textId="44F2A754" w:rsidR="005A47C3" w:rsidRDefault="005A47C3" w:rsidP="00710B77">
      <w:pPr>
        <w:numPr>
          <w:ilvl w:val="1"/>
          <w:numId w:val="2"/>
        </w:numPr>
      </w:pPr>
      <w:r w:rsidRPr="00243DC2">
        <w:t>How often does this course meet?</w:t>
      </w:r>
    </w:p>
    <w:p w14:paraId="3AB3F11D" w14:textId="2A2320DC" w:rsidR="006A08BD" w:rsidRDefault="006A08BD" w:rsidP="00710B77">
      <w:pPr>
        <w:numPr>
          <w:ilvl w:val="1"/>
          <w:numId w:val="2"/>
        </w:numPr>
      </w:pPr>
      <w:r w:rsidRPr="005B59C7">
        <w:t xml:space="preserve">Is this </w:t>
      </w:r>
      <w:r w:rsidR="00317505" w:rsidRPr="005B59C7">
        <w:t xml:space="preserve">course </w:t>
      </w:r>
      <w:r w:rsidRPr="005B59C7">
        <w:t xml:space="preserve">something </w:t>
      </w:r>
      <w:r w:rsidR="00317505" w:rsidRPr="005B59C7">
        <w:t xml:space="preserve">a student takes before, during, or after they are officially permitted to teach their own section or serve as a TA?  </w:t>
      </w:r>
    </w:p>
    <w:p w14:paraId="20B069F8" w14:textId="7B129510" w:rsidR="00AB66F0" w:rsidRDefault="00AB66F0" w:rsidP="00AB66F0">
      <w:pPr>
        <w:numPr>
          <w:ilvl w:val="1"/>
          <w:numId w:val="2"/>
        </w:numPr>
      </w:pPr>
      <w:r w:rsidRPr="001F1961">
        <w:t xml:space="preserve">The Panel notes that there are readings on the course calendar that do not appear in the list of main texts for the course.  How/where will students access these other required readings that are not included on the list of the core texts (e.g., articles from </w:t>
      </w:r>
      <w:r w:rsidRPr="001F1961">
        <w:rPr>
          <w:i/>
          <w:iCs/>
        </w:rPr>
        <w:t>The Chronicle of Higher Education</w:t>
      </w:r>
      <w:r w:rsidRPr="001F1961">
        <w:t xml:space="preserve">)?  </w:t>
      </w:r>
    </w:p>
    <w:p w14:paraId="12ED7808" w14:textId="77777777" w:rsidR="00916DD9" w:rsidRDefault="00916DD9" w:rsidP="00916DD9">
      <w:pPr>
        <w:ind w:left="1440"/>
      </w:pPr>
    </w:p>
    <w:p w14:paraId="5569FBA9" w14:textId="233EE40E" w:rsidR="00F42DA5" w:rsidRPr="005B59C7" w:rsidRDefault="00F42DA5" w:rsidP="00F42DA5">
      <w:pPr>
        <w:numPr>
          <w:ilvl w:val="1"/>
          <w:numId w:val="2"/>
        </w:numPr>
      </w:pPr>
      <w:r w:rsidRPr="00E86479">
        <w:lastRenderedPageBreak/>
        <w:t>There are no readings or activities listed for weeks 10-11 on the course calendar.  How will these topics be addressed?</w:t>
      </w:r>
    </w:p>
    <w:p w14:paraId="2241CE1B" w14:textId="60F94E4E" w:rsidR="00D43D35" w:rsidRPr="00FD47D8" w:rsidRDefault="00A208DD" w:rsidP="00710B77">
      <w:pPr>
        <w:numPr>
          <w:ilvl w:val="1"/>
          <w:numId w:val="2"/>
        </w:numPr>
        <w:rPr>
          <w:b/>
          <w:bCs/>
        </w:rPr>
      </w:pPr>
      <w:r w:rsidRPr="00FD47D8">
        <w:rPr>
          <w:b/>
          <w:bCs/>
        </w:rPr>
        <w:t>No Vote</w:t>
      </w:r>
    </w:p>
    <w:p w14:paraId="5F705CCB" w14:textId="77777777" w:rsidR="00994077" w:rsidRPr="00360448" w:rsidRDefault="00994077" w:rsidP="00994077">
      <w:pPr>
        <w:ind w:left="1440"/>
      </w:pPr>
    </w:p>
    <w:p w14:paraId="5E83C159" w14:textId="1E5D8C04" w:rsidR="00360448" w:rsidRDefault="00360448" w:rsidP="00360448">
      <w:pPr>
        <w:numPr>
          <w:ilvl w:val="0"/>
          <w:numId w:val="2"/>
        </w:numPr>
      </w:pPr>
      <w:r w:rsidRPr="00360448">
        <w:t>German/Scandinavian 3354 (new cross-listed courses; requesting new GE Theme: Sustainability)</w:t>
      </w:r>
    </w:p>
    <w:p w14:paraId="05D12EC7" w14:textId="196F10CC" w:rsidR="00981CB0" w:rsidRDefault="006779E0" w:rsidP="00981CB0">
      <w:pPr>
        <w:pStyle w:val="ListParagraph"/>
        <w:numPr>
          <w:ilvl w:val="1"/>
          <w:numId w:val="2"/>
        </w:numPr>
      </w:pPr>
      <w:r>
        <w:t xml:space="preserve">If the Panel approves this course, what will happen to German/Scandinavian 2310?  </w:t>
      </w:r>
      <w:r w:rsidR="00D56DDA">
        <w:t xml:space="preserve">Should students who have taken </w:t>
      </w:r>
      <w:r>
        <w:t xml:space="preserve">German/Scandinavian </w:t>
      </w:r>
      <w:r w:rsidR="00D56DDA">
        <w:t xml:space="preserve">2310 be excluded from </w:t>
      </w:r>
      <w:r>
        <w:t xml:space="preserve">taking German/Scandinavian </w:t>
      </w:r>
      <w:r w:rsidR="00D56DDA">
        <w:t>3354, or can students take this same content twice?</w:t>
      </w:r>
    </w:p>
    <w:p w14:paraId="1EE03986" w14:textId="58493A6B" w:rsidR="007536B4" w:rsidRPr="00224A5D" w:rsidRDefault="00224A5D" w:rsidP="00224A5D">
      <w:pPr>
        <w:pStyle w:val="ListParagraph"/>
        <w:numPr>
          <w:ilvl w:val="1"/>
          <w:numId w:val="2"/>
        </w:numPr>
      </w:pPr>
      <w:r w:rsidRPr="00224A5D">
        <w:t xml:space="preserve">Please provide a clearer rationale for the course number increase, articulating in detail how/where the course is deeper and more expansive at this higher level (and with a particular eye to how these changes pertain to the Sustainability theme).  For example, the Panel </w:t>
      </w:r>
      <w:r w:rsidR="007658AA">
        <w:t>recognizes</w:t>
      </w:r>
      <w:r w:rsidRPr="00224A5D">
        <w:t xml:space="preserve"> that some assignments appear to have changed, but it is unclear if they have been enhanced enough to justify renumbering the course from 2000 to 3000.</w:t>
      </w:r>
    </w:p>
    <w:p w14:paraId="3D50425F" w14:textId="4AB02424" w:rsidR="005940A8" w:rsidRPr="002456D4" w:rsidRDefault="005940A8" w:rsidP="005940A8">
      <w:pPr>
        <w:pStyle w:val="ListParagraph"/>
        <w:numPr>
          <w:ilvl w:val="1"/>
          <w:numId w:val="2"/>
        </w:numPr>
      </w:pPr>
      <w:r w:rsidRPr="0001188C">
        <w:t xml:space="preserve">The Panel </w:t>
      </w:r>
      <w:r>
        <w:t>notes that the syllabus should include a small</w:t>
      </w:r>
      <w:r w:rsidRPr="0001188C">
        <w:t xml:space="preserve"> narrative description of how the class intends to meet </w:t>
      </w:r>
      <w:r>
        <w:t>the goals and</w:t>
      </w:r>
      <w:r w:rsidRPr="0001188C">
        <w:t xml:space="preserve"> ELOs</w:t>
      </w:r>
      <w:r>
        <w:t xml:space="preserve"> for the Sustainability theme</w:t>
      </w:r>
      <w:r w:rsidRPr="0001188C">
        <w:t xml:space="preserve">.  </w:t>
      </w:r>
      <w:r>
        <w:t xml:space="preserve">The </w:t>
      </w:r>
      <w:r w:rsidRPr="0001188C">
        <w:t xml:space="preserve">Themes Panel will send this back to the department as a contingency because the full listing of the goals and ELOs as well </w:t>
      </w:r>
      <w:r>
        <w:t>an</w:t>
      </w:r>
      <w:r w:rsidRPr="0001188C">
        <w:t xml:space="preserve"> explanatory </w:t>
      </w:r>
      <w:r w:rsidRPr="002456D4">
        <w:t xml:space="preserve">paragraph are required syllabus items; the Panel strongly recommends that the department make these revisions prior to review at the Themes Panel.  </w:t>
      </w:r>
    </w:p>
    <w:p w14:paraId="6987CD7D" w14:textId="5F8CD933" w:rsidR="007658AA" w:rsidRPr="002456D4" w:rsidRDefault="007658AA" w:rsidP="00981CB0">
      <w:pPr>
        <w:pStyle w:val="ListParagraph"/>
        <w:numPr>
          <w:ilvl w:val="1"/>
          <w:numId w:val="2"/>
        </w:numPr>
      </w:pPr>
      <w:r w:rsidRPr="002456D4">
        <w:t>The Panel kindly notes that on the first page of the syllabus Sustainability Goal 3 and its corresponding ELO decimals are misnumbered; they should instead read “Goal 3” and “ELO 3.1, 3.2, 3.3.”</w:t>
      </w:r>
    </w:p>
    <w:p w14:paraId="650EC655" w14:textId="1EA315CF" w:rsidR="003B6350" w:rsidRPr="002456D4" w:rsidRDefault="003B6350" w:rsidP="00981CB0">
      <w:pPr>
        <w:pStyle w:val="ListParagraph"/>
        <w:numPr>
          <w:ilvl w:val="1"/>
          <w:numId w:val="2"/>
        </w:numPr>
      </w:pPr>
      <w:r w:rsidRPr="002456D4">
        <w:rPr>
          <w:rFonts w:ascii="Calibri" w:eastAsia="Times New Roman" w:hAnsi="Calibri" w:cs="Calibri"/>
        </w:rPr>
        <w:t xml:space="preserve">The Panel recommends that the department include the most up-to-date version of the Title IX statement, which can be found here:  </w:t>
      </w:r>
      <w:hyperlink r:id="rId5" w:tooltip="https://asccas.osu.edu/curriculum/syllabus-elements" w:history="1">
        <w:r w:rsidRPr="002456D4">
          <w:rPr>
            <w:rFonts w:ascii="Calibri" w:eastAsia="Times New Roman" w:hAnsi="Calibri" w:cs="Calibri"/>
            <w:u w:val="single"/>
          </w:rPr>
          <w:t>https://asccas.osu.edu/curriculum/syllabus-elements</w:t>
        </w:r>
      </w:hyperlink>
    </w:p>
    <w:p w14:paraId="6758B18C" w14:textId="314186E0" w:rsidR="005C1F19" w:rsidRPr="002456D4" w:rsidRDefault="003B6350" w:rsidP="00981CB0">
      <w:pPr>
        <w:pStyle w:val="ListParagraph"/>
        <w:numPr>
          <w:ilvl w:val="1"/>
          <w:numId w:val="2"/>
        </w:numPr>
      </w:pPr>
      <w:r w:rsidRPr="002456D4">
        <w:rPr>
          <w:b/>
          <w:bCs/>
        </w:rPr>
        <w:t>No Vote</w:t>
      </w:r>
    </w:p>
    <w:p w14:paraId="6CF3FDE5" w14:textId="77777777" w:rsidR="0056179E" w:rsidRDefault="0056179E"/>
    <w:sectPr w:rsidR="0056179E" w:rsidSect="00C5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922"/>
    <w:multiLevelType w:val="multilevel"/>
    <w:tmpl w:val="B7BA0B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56B69CB"/>
    <w:multiLevelType w:val="multilevel"/>
    <w:tmpl w:val="B10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A7D0D"/>
    <w:multiLevelType w:val="multilevel"/>
    <w:tmpl w:val="A8C2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48"/>
    <w:rsid w:val="00002E37"/>
    <w:rsid w:val="00043C2C"/>
    <w:rsid w:val="00096201"/>
    <w:rsid w:val="000B1922"/>
    <w:rsid w:val="000D774A"/>
    <w:rsid w:val="000D7F44"/>
    <w:rsid w:val="000E0EE0"/>
    <w:rsid w:val="001131A3"/>
    <w:rsid w:val="00127572"/>
    <w:rsid w:val="00155A68"/>
    <w:rsid w:val="001C72A3"/>
    <w:rsid w:val="001F1961"/>
    <w:rsid w:val="00224A5D"/>
    <w:rsid w:val="00243DC2"/>
    <w:rsid w:val="002456D4"/>
    <w:rsid w:val="002476BE"/>
    <w:rsid w:val="00253443"/>
    <w:rsid w:val="002951CF"/>
    <w:rsid w:val="002A4550"/>
    <w:rsid w:val="002A707A"/>
    <w:rsid w:val="002E0C67"/>
    <w:rsid w:val="002E7F5D"/>
    <w:rsid w:val="00303D25"/>
    <w:rsid w:val="003110DA"/>
    <w:rsid w:val="00317505"/>
    <w:rsid w:val="00342B6A"/>
    <w:rsid w:val="0034684C"/>
    <w:rsid w:val="00360448"/>
    <w:rsid w:val="00365C29"/>
    <w:rsid w:val="003B4F7F"/>
    <w:rsid w:val="003B6350"/>
    <w:rsid w:val="003F3DB5"/>
    <w:rsid w:val="00434991"/>
    <w:rsid w:val="00450E0B"/>
    <w:rsid w:val="00451438"/>
    <w:rsid w:val="004C0F75"/>
    <w:rsid w:val="004C1E4C"/>
    <w:rsid w:val="004D7FE8"/>
    <w:rsid w:val="005250C5"/>
    <w:rsid w:val="005427D4"/>
    <w:rsid w:val="00544F54"/>
    <w:rsid w:val="0056179E"/>
    <w:rsid w:val="005670C2"/>
    <w:rsid w:val="005940A8"/>
    <w:rsid w:val="005A47C3"/>
    <w:rsid w:val="005B59C7"/>
    <w:rsid w:val="005C1F19"/>
    <w:rsid w:val="005F185C"/>
    <w:rsid w:val="0060485A"/>
    <w:rsid w:val="00612B1F"/>
    <w:rsid w:val="00630727"/>
    <w:rsid w:val="006536F4"/>
    <w:rsid w:val="006650AB"/>
    <w:rsid w:val="006779E0"/>
    <w:rsid w:val="0068427B"/>
    <w:rsid w:val="006A08BD"/>
    <w:rsid w:val="006F2670"/>
    <w:rsid w:val="007024B4"/>
    <w:rsid w:val="00702E44"/>
    <w:rsid w:val="00710B77"/>
    <w:rsid w:val="007377DF"/>
    <w:rsid w:val="007536B4"/>
    <w:rsid w:val="007658AA"/>
    <w:rsid w:val="007A5ABD"/>
    <w:rsid w:val="007B0301"/>
    <w:rsid w:val="007C6075"/>
    <w:rsid w:val="007E048C"/>
    <w:rsid w:val="007F3D69"/>
    <w:rsid w:val="00817254"/>
    <w:rsid w:val="00820A44"/>
    <w:rsid w:val="008751BB"/>
    <w:rsid w:val="00881E5C"/>
    <w:rsid w:val="008A2455"/>
    <w:rsid w:val="008C1436"/>
    <w:rsid w:val="008C6567"/>
    <w:rsid w:val="008C6AF0"/>
    <w:rsid w:val="008D1EE3"/>
    <w:rsid w:val="008D5673"/>
    <w:rsid w:val="008E61E9"/>
    <w:rsid w:val="009059C1"/>
    <w:rsid w:val="00916DD9"/>
    <w:rsid w:val="009669D5"/>
    <w:rsid w:val="00981CB0"/>
    <w:rsid w:val="00985492"/>
    <w:rsid w:val="00994077"/>
    <w:rsid w:val="009A13F8"/>
    <w:rsid w:val="009F0B2F"/>
    <w:rsid w:val="00A208DD"/>
    <w:rsid w:val="00A5059F"/>
    <w:rsid w:val="00A517C4"/>
    <w:rsid w:val="00A5284C"/>
    <w:rsid w:val="00A5316E"/>
    <w:rsid w:val="00AB66F0"/>
    <w:rsid w:val="00AC0D94"/>
    <w:rsid w:val="00B75B79"/>
    <w:rsid w:val="00B813C7"/>
    <w:rsid w:val="00BB46AA"/>
    <w:rsid w:val="00BB6BA4"/>
    <w:rsid w:val="00BD4FA0"/>
    <w:rsid w:val="00C01F02"/>
    <w:rsid w:val="00C1657D"/>
    <w:rsid w:val="00C4053E"/>
    <w:rsid w:val="00C548FE"/>
    <w:rsid w:val="00C877C6"/>
    <w:rsid w:val="00CB22BD"/>
    <w:rsid w:val="00CC20AA"/>
    <w:rsid w:val="00CC3F77"/>
    <w:rsid w:val="00D3198B"/>
    <w:rsid w:val="00D4025D"/>
    <w:rsid w:val="00D43D35"/>
    <w:rsid w:val="00D4646C"/>
    <w:rsid w:val="00D56DDA"/>
    <w:rsid w:val="00DB2D3C"/>
    <w:rsid w:val="00DD51E1"/>
    <w:rsid w:val="00DD798E"/>
    <w:rsid w:val="00DE79CD"/>
    <w:rsid w:val="00DF2B1C"/>
    <w:rsid w:val="00DF4BE5"/>
    <w:rsid w:val="00E1408E"/>
    <w:rsid w:val="00E157F3"/>
    <w:rsid w:val="00E41CC0"/>
    <w:rsid w:val="00E47F78"/>
    <w:rsid w:val="00E7247A"/>
    <w:rsid w:val="00E86479"/>
    <w:rsid w:val="00ED77C2"/>
    <w:rsid w:val="00EE7D71"/>
    <w:rsid w:val="00F042E6"/>
    <w:rsid w:val="00F3097C"/>
    <w:rsid w:val="00F42DA5"/>
    <w:rsid w:val="00FD47D8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29BE"/>
  <w15:chartTrackingRefBased/>
  <w15:docId w15:val="{DE72765A-163B-0042-8F0C-FD18732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7</cp:revision>
  <dcterms:created xsi:type="dcterms:W3CDTF">2022-01-13T15:30:00Z</dcterms:created>
  <dcterms:modified xsi:type="dcterms:W3CDTF">2022-01-28T12:42:00Z</dcterms:modified>
</cp:coreProperties>
</file>